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24400" w14:textId="34AF687B" w:rsidR="00414E5F" w:rsidRPr="00ED444C" w:rsidRDefault="00414E5F" w:rsidP="00414E5F">
      <w:pPr>
        <w:spacing w:line="276" w:lineRule="auto"/>
        <w:rPr>
          <w:b/>
          <w:bCs/>
          <w:sz w:val="36"/>
          <w:szCs w:val="36"/>
        </w:rPr>
      </w:pPr>
      <w:r w:rsidRPr="00ED444C">
        <w:rPr>
          <w:b/>
          <w:bCs/>
          <w:sz w:val="36"/>
          <w:szCs w:val="36"/>
        </w:rPr>
        <w:t>ABSTRACT</w:t>
      </w:r>
      <w:r w:rsidR="009E6BF3">
        <w:rPr>
          <w:b/>
          <w:bCs/>
          <w:sz w:val="36"/>
          <w:szCs w:val="36"/>
        </w:rPr>
        <w:t xml:space="preserve"> </w:t>
      </w:r>
    </w:p>
    <w:p w14:paraId="2277B3FB" w14:textId="77777777" w:rsidR="00414E5F" w:rsidRPr="00161E2A" w:rsidRDefault="00414E5F" w:rsidP="00414E5F">
      <w:pPr>
        <w:spacing w:line="276" w:lineRule="auto"/>
        <w:rPr>
          <w:sz w:val="28"/>
          <w:szCs w:val="28"/>
        </w:rPr>
      </w:pPr>
    </w:p>
    <w:p w14:paraId="654060F3" w14:textId="77777777" w:rsidR="00414E5F" w:rsidRPr="000C54B3" w:rsidRDefault="00414E5F" w:rsidP="00414E5F">
      <w:pPr>
        <w:rPr>
          <w:sz w:val="28"/>
          <w:szCs w:val="28"/>
        </w:rPr>
      </w:pPr>
      <w:r w:rsidRPr="000C54B3">
        <w:rPr>
          <w:sz w:val="28"/>
          <w:szCs w:val="28"/>
        </w:rPr>
        <w:t>Universität Hamburg, Fachbereich Biologie</w:t>
      </w:r>
    </w:p>
    <w:p w14:paraId="71D43007" w14:textId="77777777" w:rsidR="00414E5F" w:rsidRPr="009E6BF3" w:rsidRDefault="00414E5F" w:rsidP="00414E5F">
      <w:pPr>
        <w:rPr>
          <w:sz w:val="28"/>
          <w:szCs w:val="28"/>
          <w:lang w:val="en-US"/>
        </w:rPr>
      </w:pPr>
      <w:r w:rsidRPr="009E6BF3">
        <w:rPr>
          <w:sz w:val="28"/>
          <w:szCs w:val="28"/>
          <w:lang w:val="en-US"/>
        </w:rPr>
        <w:t>IZS-Colloquium</w:t>
      </w:r>
    </w:p>
    <w:p w14:paraId="74437001" w14:textId="77777777" w:rsidR="00414E5F" w:rsidRPr="009E6BF3" w:rsidRDefault="00414E5F" w:rsidP="00414E5F">
      <w:pPr>
        <w:rPr>
          <w:sz w:val="28"/>
          <w:szCs w:val="28"/>
          <w:lang w:val="en-US"/>
        </w:rPr>
      </w:pPr>
    </w:p>
    <w:p w14:paraId="5A2CD31E" w14:textId="42C38FEF" w:rsidR="00414E5F" w:rsidRPr="000C54B3" w:rsidRDefault="00414E5F" w:rsidP="00414E5F">
      <w:pPr>
        <w:rPr>
          <w:b/>
          <w:bCs/>
          <w:sz w:val="28"/>
          <w:szCs w:val="28"/>
          <w:lang w:val="en-US"/>
        </w:rPr>
      </w:pPr>
      <w:r w:rsidRPr="000C54B3">
        <w:rPr>
          <w:b/>
          <w:bCs/>
          <w:sz w:val="28"/>
          <w:szCs w:val="28"/>
          <w:lang w:val="en-US"/>
        </w:rPr>
        <w:t>2</w:t>
      </w:r>
      <w:r w:rsidR="00814B13">
        <w:rPr>
          <w:b/>
          <w:bCs/>
          <w:sz w:val="28"/>
          <w:szCs w:val="28"/>
          <w:lang w:val="en-US"/>
        </w:rPr>
        <w:t>3</w:t>
      </w:r>
      <w:r w:rsidRPr="000C54B3">
        <w:rPr>
          <w:b/>
          <w:bCs/>
          <w:sz w:val="28"/>
          <w:szCs w:val="28"/>
          <w:lang w:val="en-US"/>
        </w:rPr>
        <w:t>.</w:t>
      </w:r>
      <w:r w:rsidR="00814B13">
        <w:rPr>
          <w:b/>
          <w:bCs/>
          <w:sz w:val="28"/>
          <w:szCs w:val="28"/>
          <w:lang w:val="en-US"/>
        </w:rPr>
        <w:t>04</w:t>
      </w:r>
      <w:r w:rsidRPr="000C54B3">
        <w:rPr>
          <w:b/>
          <w:bCs/>
          <w:sz w:val="28"/>
          <w:szCs w:val="28"/>
          <w:lang w:val="en-US"/>
        </w:rPr>
        <w:t>.202</w:t>
      </w:r>
      <w:r w:rsidR="00814B13">
        <w:rPr>
          <w:b/>
          <w:bCs/>
          <w:sz w:val="28"/>
          <w:szCs w:val="28"/>
          <w:lang w:val="en-US"/>
        </w:rPr>
        <w:t>4</w:t>
      </w:r>
    </w:p>
    <w:p w14:paraId="72E9CA12" w14:textId="77777777" w:rsidR="00814B13" w:rsidRPr="00814B13" w:rsidRDefault="00414E5F" w:rsidP="00814B13">
      <w:pPr>
        <w:rPr>
          <w:sz w:val="28"/>
          <w:szCs w:val="28"/>
          <w:lang w:val="en-US"/>
        </w:rPr>
      </w:pPr>
      <w:r w:rsidRPr="000C54B3">
        <w:rPr>
          <w:b/>
          <w:bCs/>
          <w:sz w:val="28"/>
          <w:szCs w:val="28"/>
          <w:lang w:val="en-US"/>
        </w:rPr>
        <w:t xml:space="preserve">Dr. </w:t>
      </w:r>
      <w:r w:rsidR="00814B13" w:rsidRPr="00814B13">
        <w:rPr>
          <w:b/>
          <w:bCs/>
          <w:sz w:val="28"/>
          <w:szCs w:val="28"/>
          <w:lang w:val="en-US"/>
        </w:rPr>
        <w:t>Frederik Hendrickx</w:t>
      </w:r>
      <w:r w:rsidRPr="000C54B3">
        <w:rPr>
          <w:b/>
          <w:bCs/>
          <w:sz w:val="28"/>
          <w:szCs w:val="28"/>
          <w:lang w:val="en-US"/>
        </w:rPr>
        <w:br/>
      </w:r>
      <w:r w:rsidR="00814B13" w:rsidRPr="00814B13">
        <w:rPr>
          <w:sz w:val="28"/>
          <w:szCs w:val="28"/>
          <w:lang w:val="en-US"/>
        </w:rPr>
        <w:t>(Institute of Natural Sciences, Brussels, Belgium)</w:t>
      </w:r>
    </w:p>
    <w:p w14:paraId="0DFA072F" w14:textId="77777777" w:rsidR="00814B13" w:rsidRPr="00814B13" w:rsidRDefault="00814B13" w:rsidP="00814B13">
      <w:pPr>
        <w:rPr>
          <w:sz w:val="28"/>
          <w:szCs w:val="28"/>
          <w:lang w:val="en-US"/>
        </w:rPr>
      </w:pPr>
      <w:r w:rsidRPr="00814B13">
        <w:rPr>
          <w:sz w:val="28"/>
          <w:szCs w:val="28"/>
          <w:lang w:val="en-US"/>
        </w:rPr>
        <w:t>The evolutionary and genomic mechanisms underlying a conspicuous male dimorphism in a spider</w:t>
      </w:r>
    </w:p>
    <w:p w14:paraId="04763265" w14:textId="77777777" w:rsidR="00814B13" w:rsidRDefault="00814B13" w:rsidP="00814B13">
      <w:pPr>
        <w:rPr>
          <w:sz w:val="28"/>
          <w:szCs w:val="28"/>
        </w:rPr>
      </w:pPr>
      <w:r w:rsidRPr="00814B13">
        <w:rPr>
          <w:sz w:val="28"/>
          <w:szCs w:val="28"/>
        </w:rPr>
        <w:t>Host: Jutta Schneider</w:t>
      </w:r>
    </w:p>
    <w:p w14:paraId="4E496F4E" w14:textId="77777777" w:rsidR="00414E5F" w:rsidRPr="009E6BF3" w:rsidRDefault="00414E5F" w:rsidP="00414E5F">
      <w:pPr>
        <w:spacing w:line="276" w:lineRule="auto"/>
        <w:rPr>
          <w:sz w:val="28"/>
          <w:szCs w:val="28"/>
        </w:rPr>
      </w:pPr>
    </w:p>
    <w:p w14:paraId="479B2095" w14:textId="328C344D" w:rsidR="00EA019A" w:rsidRPr="009E6BF3" w:rsidRDefault="00814B13" w:rsidP="00814B13">
      <w:pPr>
        <w:jc w:val="both"/>
        <w:rPr>
          <w:lang w:val="en-US"/>
        </w:rPr>
      </w:pPr>
      <w:r w:rsidRPr="00814B13">
        <w:rPr>
          <w:sz w:val="28"/>
          <w:szCs w:val="28"/>
          <w:lang w:val="en-US"/>
        </w:rPr>
        <w:t xml:space="preserve">In many species, individuals of the same sex can develop into strikingly different morphs, which are determined by a simple Mendelian locus. How sexual selection maintains these stable polymorphisms and shapes loci that control these complex phenotypic differences remains poorly understood. In the spider </w:t>
      </w:r>
      <w:proofErr w:type="spellStart"/>
      <w:r w:rsidRPr="00814B13">
        <w:rPr>
          <w:i/>
          <w:sz w:val="28"/>
          <w:szCs w:val="28"/>
          <w:lang w:val="en-US"/>
        </w:rPr>
        <w:t>Oedothorax</w:t>
      </w:r>
      <w:proofErr w:type="spellEnd"/>
      <w:r w:rsidRPr="00814B13">
        <w:rPr>
          <w:i/>
          <w:sz w:val="28"/>
          <w:szCs w:val="28"/>
          <w:lang w:val="en-US"/>
        </w:rPr>
        <w:t xml:space="preserve"> </w:t>
      </w:r>
      <w:proofErr w:type="spellStart"/>
      <w:r w:rsidRPr="00814B13">
        <w:rPr>
          <w:i/>
          <w:sz w:val="28"/>
          <w:szCs w:val="28"/>
          <w:lang w:val="en-US"/>
        </w:rPr>
        <w:t>gibbosus</w:t>
      </w:r>
      <w:proofErr w:type="spellEnd"/>
      <w:r w:rsidRPr="00814B13">
        <w:rPr>
          <w:sz w:val="28"/>
          <w:szCs w:val="28"/>
          <w:lang w:val="en-US"/>
        </w:rPr>
        <w:t xml:space="preserve">, males either develop into a ‘hunched’ morph with conspicuous head structures or as a fast developing ‘flat’ morph with a female-like appearance.  We first show how show strong sexual selection for the </w:t>
      </w:r>
      <w:bookmarkStart w:id="0" w:name="_GoBack"/>
      <w:bookmarkEnd w:id="0"/>
      <w:r w:rsidRPr="00814B13">
        <w:rPr>
          <w:sz w:val="28"/>
          <w:szCs w:val="28"/>
          <w:lang w:val="en-US"/>
        </w:rPr>
        <w:t xml:space="preserve">exaggerated “hunched” morph simultaneously selects for the </w:t>
      </w:r>
      <w:proofErr w:type="gramStart"/>
      <w:r w:rsidRPr="00814B13">
        <w:rPr>
          <w:sz w:val="28"/>
          <w:szCs w:val="28"/>
          <w:lang w:val="en-US"/>
        </w:rPr>
        <w:t>alternative ”flat</w:t>
      </w:r>
      <w:proofErr w:type="gramEnd"/>
      <w:r w:rsidRPr="00814B13">
        <w:rPr>
          <w:sz w:val="28"/>
          <w:szCs w:val="28"/>
          <w:lang w:val="en-US"/>
        </w:rPr>
        <w:t>” morph that is devoid of these costly traits. We then unravel the genomic basis underlying this dimorphism and show that the “</w:t>
      </w:r>
      <w:proofErr w:type="spellStart"/>
      <w:r w:rsidRPr="00814B13">
        <w:rPr>
          <w:sz w:val="28"/>
          <w:szCs w:val="28"/>
          <w:lang w:val="en-US"/>
        </w:rPr>
        <w:t>huch</w:t>
      </w:r>
      <w:proofErr w:type="spellEnd"/>
      <w:r w:rsidRPr="00814B13">
        <w:rPr>
          <w:sz w:val="28"/>
          <w:szCs w:val="28"/>
          <w:lang w:val="en-US"/>
        </w:rPr>
        <w:t xml:space="preserve">”-specific allele differs from the flat-determining allele by a hunch-specific genomic fragment of approximately 15 </w:t>
      </w:r>
      <w:proofErr w:type="spellStart"/>
      <w:r w:rsidRPr="00814B13">
        <w:rPr>
          <w:sz w:val="28"/>
          <w:szCs w:val="28"/>
          <w:lang w:val="en-US"/>
        </w:rPr>
        <w:t>megabases</w:t>
      </w:r>
      <w:proofErr w:type="spellEnd"/>
      <w:r w:rsidRPr="00814B13">
        <w:rPr>
          <w:sz w:val="28"/>
          <w:szCs w:val="28"/>
          <w:lang w:val="en-US"/>
        </w:rPr>
        <w:t xml:space="preserve">. This fragment comprises dozens of genes that duplicated from genes found at different chromosomes. All functional duplicates, including </w:t>
      </w:r>
      <w:proofErr w:type="spellStart"/>
      <w:r w:rsidRPr="00814B13">
        <w:rPr>
          <w:sz w:val="28"/>
          <w:szCs w:val="28"/>
          <w:lang w:val="en-US"/>
        </w:rPr>
        <w:t>doublesex</w:t>
      </w:r>
      <w:proofErr w:type="spellEnd"/>
      <w:r w:rsidRPr="00814B13">
        <w:rPr>
          <w:sz w:val="28"/>
          <w:szCs w:val="28"/>
          <w:lang w:val="en-US"/>
        </w:rPr>
        <w:t xml:space="preserve"> - a key sexual differentiation regulatory gene, show male-specific expression, which illustrates their integrated role as a masculinizing supergene. These findings illustrate how extensive indel polymorphisms and duplications of regulatory genes may contribute to the evolution of co-adapted gene clusters, sex-limited reproductive morphs, and the enigmatic evolution of exaggerated sexual traits in general.</w:t>
      </w:r>
    </w:p>
    <w:sectPr w:rsidR="00EA019A" w:rsidRPr="009E6BF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28276C"/>
    <w:multiLevelType w:val="multilevel"/>
    <w:tmpl w:val="4A72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19A"/>
    <w:rsid w:val="00161E2A"/>
    <w:rsid w:val="00414E5F"/>
    <w:rsid w:val="006B4DD5"/>
    <w:rsid w:val="00814B13"/>
    <w:rsid w:val="009A5F3C"/>
    <w:rsid w:val="009E6BF3"/>
    <w:rsid w:val="00A23EEF"/>
    <w:rsid w:val="00CB2F6D"/>
    <w:rsid w:val="00EA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E2E33"/>
  <w15:chartTrackingRefBased/>
  <w15:docId w15:val="{6DCD8C18-E543-764F-900C-9423F40C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14E5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EA019A"/>
    <w:rPr>
      <w:b/>
      <w:bCs/>
    </w:rPr>
  </w:style>
  <w:style w:type="character" w:styleId="Hyperlink">
    <w:name w:val="Hyperlink"/>
    <w:basedOn w:val="Absatz-Standardschriftart"/>
    <w:uiPriority w:val="99"/>
    <w:semiHidden/>
    <w:unhideWhenUsed/>
    <w:rsid w:val="00EA01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2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Gitte Alpen</dc:creator>
  <cp:keywords/>
  <dc:description/>
  <cp:lastModifiedBy>Schneider, Prof. Dr. Jutta</cp:lastModifiedBy>
  <cp:revision>1</cp:revision>
  <dcterms:created xsi:type="dcterms:W3CDTF">2023-11-02T09:04:00Z</dcterms:created>
  <dcterms:modified xsi:type="dcterms:W3CDTF">2024-04-19T14:35:00Z</dcterms:modified>
</cp:coreProperties>
</file>